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00"/>
      </w:pPr>
      <w:r>
        <w:rPr>
          <w:rFonts w:hint="eastAsia"/>
        </w:rPr>
        <w:t>编制说明</w:t>
      </w:r>
    </w:p>
    <w:p>
      <w:pPr>
        <w:spacing w:line="500" w:lineRule="exact"/>
        <w:jc w:val="left"/>
        <w:rPr>
          <w:rFonts w:ascii="宋体" w:hAnsi="宋体"/>
          <w:sz w:val="30"/>
          <w:szCs w:val="30"/>
        </w:rPr>
      </w:pPr>
      <w:r>
        <w:rPr>
          <w:rFonts w:hint="eastAsia" w:ascii="宋体" w:hAnsi="宋体"/>
          <w:sz w:val="30"/>
          <w:szCs w:val="30"/>
        </w:rPr>
        <w:tab/>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一、</w:t>
      </w:r>
      <w:r>
        <w:rPr>
          <w:rFonts w:hint="eastAsia" w:ascii="宋体" w:hAnsi="宋体"/>
          <w:b/>
          <w:bCs/>
          <w:sz w:val="24"/>
          <w:szCs w:val="24"/>
        </w:rPr>
        <w:t>工作简况，包括任务来源、起草单位、主要起草人、参与单位、主要工作及其所做的其他工作等；</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根据全国团体标准、中国食品药品企业质量安全促进会标准化专业委员会的标准制订任务，并受中国食品药品企业质量安全促进会标准化专业委员会委托，由上海泰缘生物科技股份有限公司承担并负责本标准的起草编制工作。</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主要起草单位还包括上海安而信化学有限公司，上海高桥大同净水材料有限公司，天津市创嘉生物技术有限公司，连云港永荣生物科技有限公司，河北速锐康环保科技有限公司，绍兴上虞洁华化工有限公司，山东华实药业有限公司，中关村国际医药检验认证科技有限公司。</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宋海鹏为本项目负责人，余姜、史忠民、白冰洁、唐云峰、欧国华、牛建、穆晓静、张高峰、王宁、杨建召、马承逢、苏建强、陈小平等参加本标准各项技术内容确认，工作组讨论稿、征求意见稿、送审稿的讨论会，专家征求意见的整理和汇总处理、编制说明、解读材料的讨论会。苏裕心、宋海鹏、李杰参与单过硫酸氢钾消毒剂对各种微生物杀灭效果的试验验证等技术内容，工作组讨论稿、征求意见稿、送审稿的讨论会，编制说明、解读材料的讨论会。</w:t>
      </w:r>
    </w:p>
    <w:p>
      <w:pPr>
        <w:keepNext w:val="0"/>
        <w:keepLines w:val="0"/>
        <w:pageBreakBefore w:val="0"/>
        <w:widowControl w:val="0"/>
        <w:numPr>
          <w:ilvl w:val="0"/>
          <w:numId w:val="0"/>
        </w:numPr>
        <w:kinsoku/>
        <w:wordWrap/>
        <w:overflowPunct/>
        <w:topLinePunct w:val="0"/>
        <w:bidi w:val="0"/>
        <w:snapToGrid/>
        <w:spacing w:line="360" w:lineRule="auto"/>
        <w:ind w:left="420" w:leftChars="0"/>
        <w:jc w:val="left"/>
        <w:textAlignment w:val="auto"/>
        <w:rPr>
          <w:rFonts w:hint="eastAsia" w:ascii="宋体" w:hAnsi="宋体" w:eastAsiaTheme="minorEastAsia"/>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b/>
          <w:bCs/>
          <w:sz w:val="21"/>
          <w:szCs w:val="21"/>
        </w:rPr>
      </w:pPr>
      <w:r>
        <w:rPr>
          <w:rFonts w:hint="eastAsia" w:ascii="宋体" w:hAnsi="宋体"/>
          <w:b/>
          <w:bCs/>
          <w:sz w:val="24"/>
          <w:szCs w:val="24"/>
          <w:lang w:eastAsia="zh-CN"/>
        </w:rPr>
        <w:t>二、</w:t>
      </w:r>
      <w:r>
        <w:rPr>
          <w:rFonts w:hint="eastAsia" w:ascii="宋体" w:hAnsi="宋体"/>
          <w:b/>
          <w:bCs/>
          <w:sz w:val="24"/>
          <w:szCs w:val="24"/>
        </w:rPr>
        <w:t>标准编制原则和确定标准主要内容及其论据，如项目的社会意义和经济性、技术指标、性能要求、检验方法、检验规则等；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宋体" w:hAnsi="宋体"/>
          <w:sz w:val="24"/>
          <w:szCs w:val="24"/>
          <w:lang w:val="en-US" w:eastAsia="zh-CN"/>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本标准为质量提升重点项目，符合《原材料工业质量提升三年行动方案（2018-2020年）》中实现“大宗基础有机化工原料、重点合成材料、专用</w:t>
      </w:r>
      <w:r>
        <w:rPr>
          <w:rFonts w:hint="default" w:ascii="Times New Roman" w:hAnsi="Times New Roman" w:eastAsia="宋体" w:cs="Times New Roman"/>
          <w:color w:val="000000" w:themeColor="text1"/>
          <w:sz w:val="24"/>
          <w:szCs w:val="24"/>
          <w:lang w:eastAsia="zh-CN"/>
          <w14:textFill>
            <w14:solidFill>
              <w14:schemeClr w14:val="tx1"/>
            </w14:solidFill>
          </w14:textFill>
        </w:rPr>
        <w:t>消毒剂</w:t>
      </w:r>
      <w:r>
        <w:rPr>
          <w:rFonts w:hint="default" w:ascii="Times New Roman" w:hAnsi="Times New Roman" w:eastAsia="宋体" w:cs="Times New Roman"/>
          <w:color w:val="000000" w:themeColor="text1"/>
          <w:sz w:val="24"/>
          <w:szCs w:val="24"/>
          <w14:textFill>
            <w14:solidFill>
              <w14:schemeClr w14:val="tx1"/>
            </w14:solidFill>
          </w14:textFill>
        </w:rPr>
        <w:t>的质量水平显著提升”的行动目标要求，从而鼓励、提升高端专用</w:t>
      </w:r>
      <w:r>
        <w:rPr>
          <w:rFonts w:hint="default" w:ascii="Times New Roman" w:hAnsi="Times New Roman" w:eastAsia="宋体" w:cs="Times New Roman"/>
          <w:color w:val="000000" w:themeColor="text1"/>
          <w:sz w:val="24"/>
          <w:szCs w:val="24"/>
          <w:lang w:eastAsia="zh-CN"/>
          <w14:textFill>
            <w14:solidFill>
              <w14:schemeClr w14:val="tx1"/>
            </w14:solidFill>
          </w14:textFill>
        </w:rPr>
        <w:t>消毒剂</w:t>
      </w:r>
      <w:r>
        <w:rPr>
          <w:rFonts w:hint="default" w:ascii="Times New Roman" w:hAnsi="Times New Roman" w:eastAsia="宋体" w:cs="Times New Roman"/>
          <w:color w:val="000000" w:themeColor="text1"/>
          <w:sz w:val="24"/>
          <w:szCs w:val="24"/>
          <w14:textFill>
            <w14:solidFill>
              <w14:schemeClr w14:val="tx1"/>
            </w14:solidFill>
          </w14:textFill>
        </w:rPr>
        <w:t>生产技术和产品质量水平，满足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消毒剂</w:t>
      </w:r>
      <w:r>
        <w:rPr>
          <w:rFonts w:hint="default" w:ascii="Times New Roman" w:hAnsi="Times New Roman" w:eastAsia="宋体" w:cs="Times New Roman"/>
          <w:color w:val="000000" w:themeColor="text1"/>
          <w:sz w:val="24"/>
          <w:szCs w:val="24"/>
          <w14:textFill>
            <w14:solidFill>
              <w14:schemeClr w14:val="tx1"/>
            </w14:solidFill>
          </w14:textFill>
        </w:rPr>
        <w:t>产品绿色、节能、节水、安全、环保发展需要。</w:t>
      </w:r>
    </w:p>
    <w:p>
      <w:pPr>
        <w:keepNext w:val="0"/>
        <w:keepLines w:val="0"/>
        <w:pageBreakBefore w:val="0"/>
        <w:widowControl w:val="0"/>
        <w:kinsoku/>
        <w:wordWrap/>
        <w:overflowPunct/>
        <w:topLinePunct w:val="0"/>
        <w:bidi w:val="0"/>
        <w:snapToGrid/>
        <w:spacing w:line="360" w:lineRule="auto"/>
        <w:ind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单过硫酸氢钾</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，是</w:t>
      </w:r>
      <w:r>
        <w:rPr>
          <w:rFonts w:hint="eastAsia" w:ascii="Times New Roman" w:hAnsi="Times New Roman" w:eastAsia="宋体" w:cs="Times New Roman"/>
          <w:sz w:val="24"/>
          <w:szCs w:val="24"/>
          <w:lang w:val="en-US" w:eastAsia="zh-CN"/>
        </w:rPr>
        <w:t>非</w:t>
      </w:r>
      <w:r>
        <w:rPr>
          <w:rFonts w:hint="default" w:ascii="Times New Roman" w:hAnsi="Times New Roman" w:eastAsia="宋体" w:cs="Times New Roman"/>
          <w:sz w:val="24"/>
          <w:szCs w:val="24"/>
        </w:rPr>
        <w:t>氯</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、以多种活性氧为杀菌成份的新型</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用于个人、家庭、医院以及公共环境的杀菌消毒，也可用于生活饮用水、工业用水、医院污水、生活污水、工业循环水的杀菌消毒处理，还用于食品加工、畜牧与水产养殖、种植业等领域的杀菌、灭藻、消毒及保鲜。</w:t>
      </w:r>
    </w:p>
    <w:p>
      <w:pPr>
        <w:keepNext w:val="0"/>
        <w:keepLines w:val="0"/>
        <w:pageBreakBefore w:val="0"/>
        <w:widowControl w:val="0"/>
        <w:kinsoku/>
        <w:wordWrap/>
        <w:overflowPunct/>
        <w:topLinePunct w:val="0"/>
        <w:bidi w:val="0"/>
        <w:snapToGrid/>
        <w:spacing w:line="360" w:lineRule="auto"/>
        <w:ind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单过硫酸氢钾</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具有绿色、高效、环保、安全的优点，</w:t>
      </w:r>
      <w:r>
        <w:rPr>
          <w:rFonts w:hint="default" w:ascii="Times New Roman" w:hAnsi="Times New Roman" w:eastAsia="宋体" w:cs="Times New Roman"/>
          <w:color w:val="000000" w:themeColor="text1"/>
          <w:sz w:val="24"/>
          <w:szCs w:val="24"/>
          <w14:textFill>
            <w14:solidFill>
              <w14:schemeClr w14:val="tx1"/>
            </w14:solidFill>
          </w14:textFill>
        </w:rPr>
        <w:t>不产生有毒副产物，避免水质二次污染，与含氯杀菌剂相比，不产生余氯，能够避免对人类健康（三致及生殖毒害）产生严重影响；</w:t>
      </w:r>
      <w:r>
        <w:rPr>
          <w:rFonts w:hint="default" w:ascii="Times New Roman" w:hAnsi="Times New Roman" w:eastAsia="宋体" w:cs="Times New Roman"/>
          <w:sz w:val="24"/>
          <w:szCs w:val="24"/>
        </w:rPr>
        <w:t>持续产生</w:t>
      </w:r>
      <w:r>
        <w:rPr>
          <w:rFonts w:hint="eastAsia" w:ascii="Times New Roman" w:hAnsi="Times New Roman" w:eastAsia="宋体" w:cs="Times New Roman"/>
          <w:sz w:val="24"/>
          <w:szCs w:val="24"/>
          <w:lang w:val="en-US" w:eastAsia="zh-CN"/>
        </w:rPr>
        <w:t>新生态氧、</w:t>
      </w:r>
      <w:r>
        <w:rPr>
          <w:rFonts w:hint="default" w:ascii="Times New Roman" w:hAnsi="Times New Roman" w:eastAsia="宋体" w:cs="Times New Roman"/>
          <w:sz w:val="24"/>
          <w:szCs w:val="24"/>
        </w:rPr>
        <w:t>硫酸自由基、羟自由基等多种活性成分，协同杀菌能力高达氯气的600倍，72小时长效抑制有害菌，杀菌率在99.9</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%以上；能够氧化去除导致肝癌的藻毒素，降解残留农药等有机污染物和重金属等有害物质。</w:t>
      </w:r>
    </w:p>
    <w:p>
      <w:pPr>
        <w:keepNext w:val="0"/>
        <w:keepLines w:val="0"/>
        <w:pageBreakBefore w:val="0"/>
        <w:widowControl w:val="0"/>
        <w:kinsoku/>
        <w:wordWrap/>
        <w:overflowPunct/>
        <w:topLinePunct w:val="0"/>
        <w:bidi w:val="0"/>
        <w:snapToGrid/>
        <w:spacing w:line="360" w:lineRule="auto"/>
        <w:ind w:firstLine="600" w:firstLineChars="2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单过硫酸氢钾</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作为专用</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高端剂型，具有方便计量、投加，比表面积小，稳定性好的优点；使用方便，更加安全，易于运输、贮存，</w:t>
      </w:r>
      <w:r>
        <w:rPr>
          <w:rFonts w:hint="default" w:ascii="Times New Roman" w:hAnsi="Times New Roman" w:eastAsia="宋体" w:cs="Times New Roman"/>
          <w:color w:val="000000" w:themeColor="text1"/>
          <w:sz w:val="24"/>
          <w:szCs w:val="24"/>
          <w14:textFill>
            <w14:solidFill>
              <w14:schemeClr w14:val="tx1"/>
            </w14:solidFill>
          </w14:textFill>
        </w:rPr>
        <w:t>可广泛应用于自来水预氧化、工业废污水消毒处理，也可用于医院污水和生活污水、特殊医疗器械以及游泳池消毒等方面，是液氯、次氯酸钠等含氯杀菌剂的理想替代品。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其高效性、安全性、绿色环保特性，尤其适合企事业单位和人民群众对符合健康、绿色环保等消费升级的需求。</w:t>
      </w:r>
      <w:r>
        <w:rPr>
          <w:rFonts w:hint="default" w:ascii="Times New Roman" w:hAnsi="Times New Roman" w:eastAsia="宋体" w:cs="Times New Roman"/>
          <w:color w:val="000000" w:themeColor="text1"/>
          <w:sz w:val="24"/>
          <w:szCs w:val="24"/>
          <w14:textFill>
            <w14:solidFill>
              <w14:schemeClr w14:val="tx1"/>
            </w14:solidFill>
          </w14:textFill>
        </w:rPr>
        <w:t>但是目前行业内只有各企业自己的企标，没有统一的</w:t>
      </w:r>
      <w:r>
        <w:rPr>
          <w:rFonts w:hint="default" w:ascii="Times New Roman" w:hAnsi="Times New Roman" w:eastAsia="宋体" w:cs="Times New Roman"/>
          <w:color w:val="000000" w:themeColor="text1"/>
          <w:sz w:val="24"/>
          <w:szCs w:val="24"/>
          <w:lang w:eastAsia="zh-CN"/>
          <w14:textFill>
            <w14:solidFill>
              <w14:schemeClr w14:val="tx1"/>
            </w14:solidFill>
          </w14:textFill>
        </w:rPr>
        <w:t>团体</w:t>
      </w:r>
      <w:r>
        <w:rPr>
          <w:rFonts w:hint="default" w:ascii="Times New Roman" w:hAnsi="Times New Roman" w:eastAsia="宋体" w:cs="Times New Roman"/>
          <w:color w:val="000000" w:themeColor="text1"/>
          <w:sz w:val="24"/>
          <w:szCs w:val="24"/>
          <w14:textFill>
            <w14:solidFill>
              <w14:schemeClr w14:val="tx1"/>
            </w14:solidFill>
          </w14:textFill>
        </w:rPr>
        <w:t>标准对该产品的质量进行规范管理，产品质量无法保证，因此急需制定本标准，以提高我国高端专用</w:t>
      </w:r>
      <w:r>
        <w:rPr>
          <w:rFonts w:hint="default" w:ascii="Times New Roman" w:hAnsi="Times New Roman" w:eastAsia="宋体" w:cs="Times New Roman"/>
          <w:color w:val="000000" w:themeColor="text1"/>
          <w:sz w:val="24"/>
          <w:szCs w:val="24"/>
          <w:lang w:eastAsia="zh-CN"/>
          <w14:textFill>
            <w14:solidFill>
              <w14:schemeClr w14:val="tx1"/>
            </w14:solidFill>
          </w14:textFill>
        </w:rPr>
        <w:t>消毒剂</w:t>
      </w:r>
      <w:r>
        <w:rPr>
          <w:rFonts w:hint="default" w:ascii="Times New Roman" w:hAnsi="Times New Roman" w:eastAsia="宋体" w:cs="Times New Roman"/>
          <w:color w:val="000000" w:themeColor="text1"/>
          <w:sz w:val="24"/>
          <w:szCs w:val="24"/>
          <w14:textFill>
            <w14:solidFill>
              <w14:schemeClr w14:val="tx1"/>
            </w14:solidFill>
          </w14:textFill>
        </w:rPr>
        <w:t>的国际竞争力。</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本标准规定了单过硫酸氢钾</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的技术要求、试验方法、检验规则、包装、贮存、运输及标志。</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本标准适用于以单过硫酸氢钾（复合盐）为主要成分的单过硫酸氢钾</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主要用作个人、家庭、医院以及公共环境的杀菌消毒，也可用于生活饮用水、工业用水、医院污水、生活污水、工业循环水的杀菌消毒处理，以及食品加工、畜牧与水产养殖、种植业等领域的杀菌、灭藻、消毒及保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Theme="minorEastAsia"/>
          <w:sz w:val="24"/>
          <w:szCs w:val="24"/>
          <w:lang w:val="en-US" w:eastAsia="zh-CN"/>
        </w:rPr>
      </w:pPr>
      <w:r>
        <w:rPr>
          <w:rFonts w:hint="default" w:ascii="Times New Roman" w:hAnsi="Times New Roman" w:eastAsia="宋体" w:cs="Times New Roman"/>
          <w:sz w:val="24"/>
          <w:szCs w:val="24"/>
        </w:rPr>
        <w:t xml:space="preserve"> 主要技术指标包括：</w:t>
      </w:r>
      <w:r>
        <w:rPr>
          <w:rFonts w:hint="default" w:ascii="Times New Roman" w:hAnsi="Times New Roman" w:eastAsia="宋体" w:cs="Times New Roman"/>
          <w:color w:val="000000" w:themeColor="text1"/>
          <w:sz w:val="24"/>
          <w:szCs w:val="24"/>
          <w14:textFill>
            <w14:solidFill>
              <w14:schemeClr w14:val="tx1"/>
            </w14:solidFill>
          </w14:textFill>
        </w:rPr>
        <w:t>活性氧、活性成分KHSO</w:t>
      </w:r>
      <w:r>
        <w:rPr>
          <w:rFonts w:hint="default" w:ascii="Times New Roman" w:hAnsi="Times New Roman" w:eastAsia="宋体" w:cs="Times New Roman"/>
          <w:color w:val="000000" w:themeColor="text1"/>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、pH、重金属含量（以Pb计）、As</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Hg、</w:t>
      </w:r>
      <w:r>
        <w:rPr>
          <w:rFonts w:hint="eastAsia" w:ascii="Times New Roman" w:hAnsi="Times New Roman" w:eastAsia="宋体" w:cs="Times New Roman"/>
          <w:color w:val="000000" w:themeColor="text1"/>
          <w:sz w:val="24"/>
          <w:szCs w:val="24"/>
          <w:lang w:eastAsia="zh-CN"/>
          <w14:textFill>
            <w14:solidFill>
              <w14:schemeClr w14:val="tx1"/>
            </w14:solidFill>
          </w14:textFill>
        </w:rPr>
        <w:t>产品稳定性、</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微生物试验</w:t>
      </w:r>
      <w:r>
        <w:rPr>
          <w:rFonts w:hint="eastAsia" w:ascii="Times New Roman" w:hAnsi="Times New Roman" w:eastAsia="宋体" w:cs="Times New Roman"/>
          <w:color w:val="000000" w:themeColor="text1"/>
          <w:sz w:val="24"/>
          <w:szCs w:val="24"/>
          <w:lang w:eastAsia="zh-CN"/>
          <w14:textFill>
            <w14:solidFill>
              <w14:schemeClr w14:val="tx1"/>
            </w14:solidFill>
          </w14:textFill>
        </w:rPr>
        <w:t>、毒理学检测</w:t>
      </w:r>
      <w:r>
        <w:rPr>
          <w:rFonts w:hint="default" w:ascii="Times New Roman" w:hAnsi="Times New Roman" w:eastAsia="宋体" w:cs="Times New Roman"/>
          <w:sz w:val="24"/>
          <w:szCs w:val="24"/>
        </w:rPr>
        <w:t>等</w:t>
      </w:r>
      <w:r>
        <w:rPr>
          <w:rFonts w:hint="default" w:ascii="Times New Roman" w:hAnsi="Times New Roman" w:eastAsia="宋体" w:cs="Times New Roman"/>
          <w:sz w:val="24"/>
          <w:szCs w:val="24"/>
          <w:lang w:eastAsia="zh-CN"/>
        </w:rPr>
        <w:t>消毒剂</w:t>
      </w:r>
      <w:r>
        <w:rPr>
          <w:rFonts w:hint="default" w:ascii="Times New Roman" w:hAnsi="Times New Roman" w:eastAsia="宋体" w:cs="Times New Roman"/>
          <w:sz w:val="24"/>
          <w:szCs w:val="24"/>
        </w:rPr>
        <w:t>相关的性能要求。</w:t>
      </w:r>
      <w:r>
        <w:rPr>
          <w:rFonts w:hint="default" w:ascii="Times New Roman" w:hAnsi="Times New Roman" w:eastAsia="宋体" w:cs="Times New Roman"/>
          <w:color w:val="000000"/>
          <w:sz w:val="24"/>
          <w:szCs w:val="24"/>
        </w:rPr>
        <w:t>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Theme="minorEastAsia"/>
          <w:sz w:val="24"/>
          <w:szCs w:val="24"/>
          <w:lang w:val="en-US" w:eastAsia="zh-CN"/>
        </w:rPr>
      </w:pP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与现行法律法规、强制性标准和其他有关标准的关系，采用国际标准的程度及水平的简要说明；</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1. 国内外对该技术研究情况简要说明：20世纪80年代末欧美许多发达国家开展以单过硫酸氢钾为主要活性成分的产品制造及其作为人类饮用水处理用消毒剂的应用研究，成功将其应用于水产养殖、畜禽饮用水、人类饮用水处理时的氧化、消毒。1990年代初英国采用过硫酸氢钾复合盐对付肆虐欧洲的口蹄疫和疯牛病取得辉煌成效。2000年欧洲标准协会也核准通过了EN 12678:2000(处理人类生活用水的化学试剂-单过硫酸氢钾)，随后德国、法国、英国等CEN成员国将该标准转化为本国国家标准。2001年过硫酸氢钾复合粉是美国环保局（EPA）批准注册的第一个和唯一的用于预防口蹄疫的兽用消毒剂。美国杜邦公司的卫可（锐控、派司服等）系列品牌，广泛应用于家庭、公共环境、养殖业等领域。该产品为第五代广谱高水平消毒剂，国内外市场巨大。本次新冠疫情防控期间，本产品是上海市2020年度第一批23个创新产品之一，也是上海市第一批20个政府首购产品之一，是疫情防控重要征用物资。</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2.项目与国际标准或国外先进标准采用程度的考虑：本标准参考国外先进标准EN 12678:2016，《Chemicals used for treatment of water intended for human consumption–Potassium peroxomonosulfate》进行制定。</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3.与国内相关标准间的关系：无相关国家、行业标准或团体标准。</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4.未发现相关知识产权问题。　</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四、立项修改情况</w:t>
      </w:r>
      <w:r>
        <w:rPr>
          <w:rFonts w:hint="eastAsia" w:ascii="宋体" w:hAnsi="宋体"/>
          <w:b/>
          <w:bCs/>
          <w:sz w:val="24"/>
          <w:szCs w:val="24"/>
        </w:rPr>
        <w:t>；</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val="0"/>
          <w:bCs w:val="0"/>
          <w:sz w:val="24"/>
          <w:szCs w:val="24"/>
          <w:lang w:val="en-US" w:eastAsia="zh-CN"/>
        </w:rPr>
      </w:pPr>
      <w:r>
        <w:rPr>
          <w:rFonts w:hint="eastAsia" w:ascii="宋体" w:hAnsi="宋体"/>
          <w:b/>
          <w:bCs/>
          <w:sz w:val="24"/>
          <w:szCs w:val="24"/>
          <w:lang w:val="en-US" w:eastAsia="zh-CN"/>
        </w:rPr>
        <w:t xml:space="preserve">  </w:t>
      </w:r>
      <w:r>
        <w:rPr>
          <w:rFonts w:hint="eastAsia" w:ascii="宋体" w:hAnsi="宋体"/>
          <w:b w:val="0"/>
          <w:bCs w:val="0"/>
          <w:sz w:val="24"/>
          <w:szCs w:val="24"/>
          <w:lang w:val="en-US" w:eastAsia="zh-CN"/>
        </w:rPr>
        <w:t xml:space="preserve">  1范围中为了更准确描述范围把“本标准适用于以单过硫酸氢钾（复合盐）为主要成分的单过硫酸氢钾消毒剂，又名“单过硫酸氢钾复合消毒粉”，主要用于：生活饮用水、游泳池水、医院污水、硬质物体表面、织物和其他多孔物体表面、食饮具、食品加工工具和设备、瓜果蔬菜、室内空气和污物的消毒，等等。以过硫酸氢钾复合物为主要成分的消毒剂原料“单过硫酸氢钾消毒剂”，对人畜共患的几乎所有的细菌、真菌、病毒具有良好的杀灭作用，同时又具有低毒超低毒的特性。”修改“</w:t>
      </w:r>
      <w:r>
        <w:rPr>
          <w:rFonts w:hint="eastAsia" w:ascii="宋体" w:hAnsi="宋体"/>
          <w:b w:val="0"/>
          <w:bCs w:val="0"/>
          <w:sz w:val="24"/>
          <w:szCs w:val="24"/>
          <w:lang w:val="en-US" w:eastAsia="zh-CN"/>
        </w:rPr>
        <w:t>本标准适用于以单过硫酸氢钾复合盐（又名“过一硫酸氢钾复合盐）为主要原料，溶解在水中后与助剂协同作用产生新生态氧、羟自由基、硫酸自由基等活性氧物质的消毒剂；助剂中加入适量氨基磺酸和氯化钠时，会通过链式反应产生包含次氯酸的中间产物。</w:t>
      </w:r>
      <w:r>
        <w:rPr>
          <w:rFonts w:hint="eastAsia" w:ascii="宋体" w:hAnsi="宋体"/>
          <w:b w:val="0"/>
          <w:bCs w:val="0"/>
          <w:sz w:val="24"/>
          <w:szCs w:val="24"/>
          <w:lang w:val="en-US" w:eastAsia="zh-CN"/>
        </w:rPr>
        <w:t>”</w:t>
      </w:r>
    </w:p>
    <w:p>
      <w:pPr>
        <w:snapToGrid/>
        <w:spacing w:before="0" w:beforeAutospacing="0" w:after="0" w:afterAutospacing="0" w:line="360" w:lineRule="auto"/>
        <w:ind w:firstLine="480" w:firstLineChars="200"/>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2  规范性引用文件中为了进一步规范检测方法，把“</w:t>
      </w:r>
      <w:r>
        <w:rPr>
          <w:rFonts w:hint="eastAsia" w:ascii="宋体" w:hAnsi="宋体"/>
          <w:b w:val="0"/>
          <w:bCs w:val="0"/>
          <w:sz w:val="24"/>
          <w:szCs w:val="24"/>
          <w:lang w:val="en-US" w:eastAsia="zh-CN"/>
        </w:rPr>
        <w:t>GB/T9738化学试剂</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水不溶</w:t>
      </w:r>
      <w:r>
        <w:rPr>
          <w:rFonts w:hint="eastAsia" w:ascii="宋体" w:hAnsi="宋体"/>
          <w:b w:val="0"/>
          <w:bCs w:val="0"/>
          <w:sz w:val="24"/>
          <w:szCs w:val="24"/>
          <w:lang w:val="en-US" w:eastAsia="zh-CN"/>
        </w:rPr>
        <w:t>物测定通用方法</w:t>
      </w:r>
      <w:r>
        <w:rPr>
          <w:rFonts w:hint="eastAsia" w:ascii="宋体" w:hAnsi="宋体"/>
          <w:b w:val="0"/>
          <w:bCs w:val="0"/>
          <w:sz w:val="24"/>
          <w:szCs w:val="24"/>
          <w:lang w:val="en-US" w:eastAsia="zh-CN"/>
        </w:rPr>
        <w:t>”删掉，增加“</w:t>
      </w:r>
      <w:r>
        <w:rPr>
          <w:rStyle w:val="6"/>
          <w:rFonts w:ascii="宋体"/>
          <w:b w:val="0"/>
          <w:i w:val="0"/>
          <w:caps w:val="0"/>
          <w:spacing w:val="0"/>
          <w:w w:val="100"/>
          <w:kern w:val="2"/>
          <w:sz w:val="24"/>
          <w:szCs w:val="24"/>
          <w:lang w:val="en-US" w:eastAsia="zh-CN" w:bidi="ar-SA"/>
        </w:rPr>
        <w:t>HG/T 5738-2020   工业过一硫酸氢钾复合盐</w:t>
      </w:r>
      <w:r>
        <w:rPr>
          <w:rFonts w:hint="eastAsia" w:ascii="宋体" w:hAnsi="宋体"/>
          <w:b w:val="0"/>
          <w:bCs w:val="0"/>
          <w:sz w:val="24"/>
          <w:szCs w:val="24"/>
          <w:lang w:val="en-US" w:eastAsia="zh-CN"/>
        </w:rPr>
        <w:t>”、及“</w:t>
      </w:r>
      <w:r>
        <w:rPr>
          <w:rFonts w:hint="eastAsia" w:ascii="宋体" w:hAnsi="宋体"/>
          <w:b w:val="0"/>
          <w:bCs w:val="0"/>
          <w:sz w:val="24"/>
          <w:szCs w:val="24"/>
          <w:lang w:val="en-US" w:eastAsia="zh-CN"/>
        </w:rPr>
        <w:t>《消毒产品生产企业卫生规范》（2009年版）</w:t>
      </w:r>
      <w:r>
        <w:rPr>
          <w:rFonts w:hint="eastAsia" w:ascii="宋体" w:hAnsi="宋体"/>
          <w:b w:val="0"/>
          <w:bCs w:val="0"/>
          <w:sz w:val="24"/>
          <w:szCs w:val="24"/>
          <w:lang w:val="en-US" w:eastAsia="zh-CN"/>
        </w:rPr>
        <w:t>”。</w:t>
      </w:r>
    </w:p>
    <w:p>
      <w:pPr>
        <w:snapToGrid/>
        <w:spacing w:before="0" w:beforeAutospacing="0" w:after="0" w:afterAutospacing="0" w:line="360" w:lineRule="auto"/>
        <w:ind w:firstLine="480" w:firstLineChars="200"/>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3  术语和定义中为了精准定义，删掉“</w:t>
      </w:r>
      <w:r>
        <w:rPr>
          <w:rFonts w:hint="eastAsia" w:ascii="宋体" w:hAnsi="宋体"/>
          <w:b w:val="0"/>
          <w:bCs w:val="0"/>
          <w:sz w:val="24"/>
          <w:szCs w:val="24"/>
          <w:lang w:val="en-US" w:eastAsia="zh-CN"/>
        </w:rPr>
        <w:t>3.2中水 graywater城市污水经处理后达到有关水质标准，可在一定范围内重复使用的非饮用水，其水质介于自来水（上水）与排入管道内污水（下水）之间。3.3一般物体表面 common subject surface 家庭、公共场所中日常用品表面及交通工具上人体常接触的物体表面，如：桌椅、床头柜、卫生洁具、门窗把手、楼梯扶手、公交车座椅、把手和儿童玩具等的表面。</w:t>
      </w:r>
      <w:r>
        <w:rPr>
          <w:rFonts w:hint="eastAsia" w:ascii="宋体" w:hAnsi="宋体"/>
          <w:b w:val="0"/>
          <w:bCs w:val="0"/>
          <w:sz w:val="24"/>
          <w:szCs w:val="24"/>
          <w:lang w:val="en-US" w:eastAsia="zh-CN"/>
        </w:rPr>
        <w:t>”</w:t>
      </w:r>
    </w:p>
    <w:p>
      <w:pPr>
        <w:snapToGrid/>
        <w:spacing w:before="0" w:beforeAutospacing="0" w:after="0" w:afterAutospacing="0" w:line="360" w:lineRule="auto"/>
        <w:ind w:firstLine="480" w:firstLineChars="200"/>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4  原料要求中修改执行标准，把原有“</w:t>
      </w:r>
      <w:r>
        <w:rPr>
          <w:rFonts w:hint="eastAsia" w:ascii="宋体" w:hAnsi="宋体"/>
          <w:b w:val="0"/>
          <w:bCs w:val="0"/>
          <w:sz w:val="24"/>
          <w:szCs w:val="24"/>
          <w:lang w:val="en-US" w:eastAsia="zh-CN"/>
        </w:rPr>
        <w:t>4.1</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单过硫酸氢钾复合盐按附录一执行。4.2</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柠檬酸按GB 1886.235-2016 执行。4.3</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柠檬酸钠按GB 1886.25-2016执行。4.4</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六偏磷酸钠按GB 1886.4-2015执行。4.5</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六偏磷酸钠按GB 1886.4-2015执行。4.6</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氯化钠按GB/T1266-2006执行。4.8</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主成分、助剂以及其他辅料应符合相应的国家标准、行业标准的质量要求和有关规定；其中砷（As）、汞（Hg)的含量和重金属(以Pb计) 含量的指标应满足表一的要求。</w:t>
      </w:r>
      <w:r>
        <w:rPr>
          <w:rFonts w:hint="eastAsia" w:ascii="宋体" w:hAnsi="宋体"/>
          <w:b w:val="0"/>
          <w:bCs w:val="0"/>
          <w:sz w:val="24"/>
          <w:szCs w:val="24"/>
          <w:lang w:val="en-US" w:eastAsia="zh-CN"/>
        </w:rPr>
        <w:t>”</w:t>
      </w:r>
    </w:p>
    <w:p>
      <w:pPr>
        <w:snapToGrid/>
        <w:spacing w:before="0" w:beforeAutospacing="0" w:after="0" w:afterAutospacing="0" w:line="360" w:lineRule="auto"/>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修改为“</w:t>
      </w:r>
      <w:r>
        <w:rPr>
          <w:rFonts w:hint="eastAsia" w:ascii="宋体" w:hAnsi="宋体"/>
          <w:b w:val="0"/>
          <w:bCs w:val="0"/>
          <w:sz w:val="24"/>
          <w:szCs w:val="24"/>
          <w:lang w:val="en-US" w:eastAsia="zh-CN"/>
        </w:rPr>
        <w:t>4.1</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单过硫酸氢钾复合盐按HG/T 5738-2020执行。4.2</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其他助剂应符合相应的国家标准、行业标准的质量要求和有关规定；其中砷（As）、汞（Hg)的含量和重金属(以Pb计) 含量的指标应满足表一的要求。</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w:t>
      </w:r>
    </w:p>
    <w:p>
      <w:pPr>
        <w:snapToGrid/>
        <w:spacing w:before="0" w:beforeAutospacing="0" w:after="0" w:afterAutospacing="0" w:line="360" w:lineRule="auto"/>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7</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使用方法中实验后修正，把原有：</w:t>
      </w:r>
    </w:p>
    <w:tbl>
      <w:tblPr>
        <w:tblStyle w:val="3"/>
        <w:tblpPr w:leftFromText="180" w:rightFromText="180" w:vertAnchor="text" w:horzAnchor="page" w:tblpX="1692" w:tblpY="206"/>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736"/>
        <w:gridCol w:w="1562"/>
        <w:gridCol w:w="119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45" w:type="dxa"/>
            <w:noWrap w:val="0"/>
            <w:vAlign w:val="top"/>
          </w:tcPr>
          <w:p>
            <w:pPr>
              <w:snapToGrid w:val="0"/>
              <w:spacing w:line="400" w:lineRule="exact"/>
              <w:jc w:val="center"/>
              <w:rPr>
                <w:rFonts w:ascii="宋体" w:hAnsi="宋体" w:cs="宋体"/>
                <w:sz w:val="18"/>
                <w:szCs w:val="18"/>
              </w:rPr>
            </w:pPr>
            <w:r>
              <w:rPr>
                <w:rFonts w:hint="eastAsia" w:ascii="宋体" w:hAnsi="宋体" w:cs="宋体"/>
                <w:sz w:val="18"/>
                <w:szCs w:val="18"/>
              </w:rPr>
              <w:t>硬质物体表面</w:t>
            </w:r>
          </w:p>
        </w:tc>
        <w:tc>
          <w:tcPr>
            <w:tcW w:w="1736" w:type="dxa"/>
            <w:noWrap w:val="0"/>
            <w:vAlign w:val="top"/>
          </w:tcPr>
          <w:p>
            <w:pPr>
              <w:snapToGrid w:val="0"/>
              <w:spacing w:line="40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00</w:t>
            </w:r>
          </w:p>
        </w:tc>
        <w:tc>
          <w:tcPr>
            <w:tcW w:w="1562"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lang w:val="en-US" w:eastAsia="zh-CN"/>
              </w:rPr>
              <w:t>25</w:t>
            </w:r>
            <w:r>
              <w:rPr>
                <w:rFonts w:hint="eastAsia" w:ascii="宋体" w:hAnsi="宋体" w:cs="宋体"/>
                <w:color w:val="000000"/>
                <w:sz w:val="18"/>
                <w:szCs w:val="18"/>
              </w:rPr>
              <w:t>00</w:t>
            </w:r>
          </w:p>
        </w:tc>
        <w:tc>
          <w:tcPr>
            <w:tcW w:w="1190"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10分钟</w:t>
            </w:r>
          </w:p>
        </w:tc>
        <w:tc>
          <w:tcPr>
            <w:tcW w:w="2687" w:type="dxa"/>
            <w:noWrap w:val="0"/>
            <w:vAlign w:val="center"/>
          </w:tcPr>
          <w:p>
            <w:pPr>
              <w:snapToGrid w:val="0"/>
              <w:spacing w:line="276" w:lineRule="auto"/>
              <w:rPr>
                <w:rFonts w:ascii="宋体" w:hAnsi="宋体" w:cs="宋体"/>
                <w:sz w:val="18"/>
                <w:szCs w:val="18"/>
              </w:rPr>
            </w:pPr>
            <w:r>
              <w:rPr>
                <w:rFonts w:hint="eastAsia" w:ascii="宋体" w:hAnsi="宋体" w:cs="宋体"/>
                <w:sz w:val="18"/>
                <w:szCs w:val="18"/>
              </w:rPr>
              <w:t>擦拭、浸泡、喷洒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45" w:type="dxa"/>
            <w:noWrap w:val="0"/>
            <w:vAlign w:val="top"/>
          </w:tcPr>
          <w:p>
            <w:pPr>
              <w:snapToGrid w:val="0"/>
              <w:spacing w:line="400" w:lineRule="exact"/>
              <w:jc w:val="center"/>
              <w:rPr>
                <w:rFonts w:ascii="宋体" w:hAnsi="宋体" w:cs="宋体"/>
                <w:sz w:val="18"/>
                <w:szCs w:val="18"/>
              </w:rPr>
            </w:pPr>
            <w:r>
              <w:rPr>
                <w:rFonts w:hint="eastAsia" w:ascii="宋体" w:hAnsi="宋体" w:cs="宋体"/>
                <w:sz w:val="18"/>
                <w:szCs w:val="18"/>
              </w:rPr>
              <w:t>织物和其他多孔物体表面</w:t>
            </w:r>
          </w:p>
        </w:tc>
        <w:tc>
          <w:tcPr>
            <w:tcW w:w="1736" w:type="dxa"/>
            <w:noWrap w:val="0"/>
            <w:vAlign w:val="top"/>
          </w:tcPr>
          <w:p>
            <w:pPr>
              <w:snapToGrid w:val="0"/>
              <w:spacing w:line="40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00</w:t>
            </w:r>
          </w:p>
        </w:tc>
        <w:tc>
          <w:tcPr>
            <w:tcW w:w="1562"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lang w:val="en-US" w:eastAsia="zh-CN"/>
              </w:rPr>
              <w:t>25</w:t>
            </w:r>
            <w:r>
              <w:rPr>
                <w:rFonts w:hint="eastAsia" w:ascii="宋体" w:hAnsi="宋体" w:cs="宋体"/>
                <w:color w:val="000000"/>
                <w:sz w:val="18"/>
                <w:szCs w:val="18"/>
              </w:rPr>
              <w:t>00</w:t>
            </w:r>
          </w:p>
        </w:tc>
        <w:tc>
          <w:tcPr>
            <w:tcW w:w="1190"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10分钟</w:t>
            </w:r>
          </w:p>
        </w:tc>
        <w:tc>
          <w:tcPr>
            <w:tcW w:w="2687" w:type="dxa"/>
            <w:noWrap w:val="0"/>
            <w:vAlign w:val="center"/>
          </w:tcPr>
          <w:p>
            <w:pPr>
              <w:snapToGrid w:val="0"/>
              <w:spacing w:line="276" w:lineRule="auto"/>
              <w:rPr>
                <w:rFonts w:ascii="宋体" w:hAnsi="宋体" w:cs="宋体"/>
                <w:sz w:val="18"/>
                <w:szCs w:val="18"/>
              </w:rPr>
            </w:pPr>
            <w:r>
              <w:rPr>
                <w:rFonts w:hint="eastAsia" w:ascii="宋体" w:hAnsi="宋体" w:cs="宋体"/>
                <w:sz w:val="18"/>
                <w:szCs w:val="18"/>
              </w:rPr>
              <w:t>浸泡、喷洒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45" w:type="dxa"/>
            <w:noWrap w:val="0"/>
            <w:vAlign w:val="top"/>
          </w:tcPr>
          <w:p>
            <w:pPr>
              <w:snapToGrid w:val="0"/>
              <w:spacing w:line="400" w:lineRule="exact"/>
              <w:jc w:val="center"/>
              <w:rPr>
                <w:rFonts w:ascii="宋体" w:hAnsi="宋体" w:cs="宋体"/>
                <w:sz w:val="18"/>
                <w:szCs w:val="18"/>
              </w:rPr>
            </w:pPr>
            <w:r>
              <w:rPr>
                <w:rFonts w:hint="eastAsia" w:ascii="宋体" w:hAnsi="宋体" w:cs="宋体"/>
                <w:sz w:val="18"/>
                <w:szCs w:val="18"/>
              </w:rPr>
              <w:t>生活饮用水</w:t>
            </w:r>
          </w:p>
        </w:tc>
        <w:tc>
          <w:tcPr>
            <w:tcW w:w="1736" w:type="dxa"/>
            <w:noWrap w:val="0"/>
            <w:vAlign w:val="top"/>
          </w:tcPr>
          <w:p>
            <w:pPr>
              <w:snapToGrid w:val="0"/>
              <w:spacing w:line="40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0</w:t>
            </w:r>
          </w:p>
        </w:tc>
        <w:tc>
          <w:tcPr>
            <w:tcW w:w="1562" w:type="dxa"/>
            <w:noWrap w:val="0"/>
            <w:vAlign w:val="top"/>
          </w:tcPr>
          <w:p>
            <w:pPr>
              <w:snapToGrid w:val="0"/>
              <w:spacing w:line="400" w:lineRule="exact"/>
              <w:jc w:val="center"/>
              <w:rPr>
                <w:rFonts w:hint="eastAsia" w:ascii="宋体" w:hAnsi="宋体" w:eastAsia="宋体" w:cs="宋体"/>
                <w:color w:val="000000"/>
                <w:sz w:val="18"/>
                <w:szCs w:val="18"/>
                <w:lang w:val="en-US" w:eastAsia="zh-CN"/>
              </w:rPr>
            </w:pPr>
            <w:r>
              <w:rPr>
                <w:rFonts w:ascii="宋体" w:hAnsi="宋体" w:cs="宋体"/>
                <w:color w:val="000000"/>
                <w:sz w:val="18"/>
                <w:szCs w:val="18"/>
              </w:rPr>
              <w:t>25</w:t>
            </w:r>
            <w:r>
              <w:rPr>
                <w:rFonts w:hint="eastAsia" w:ascii="宋体" w:hAnsi="宋体" w:cs="宋体"/>
                <w:color w:val="000000"/>
                <w:sz w:val="18"/>
                <w:szCs w:val="18"/>
              </w:rPr>
              <w:t>00</w:t>
            </w:r>
            <w:r>
              <w:rPr>
                <w:rFonts w:hint="eastAsia" w:ascii="宋体" w:hAnsi="宋体" w:cs="宋体"/>
                <w:color w:val="000000"/>
                <w:sz w:val="18"/>
                <w:szCs w:val="18"/>
                <w:lang w:val="en-US" w:eastAsia="zh-CN"/>
              </w:rPr>
              <w:t>0</w:t>
            </w:r>
          </w:p>
        </w:tc>
        <w:tc>
          <w:tcPr>
            <w:tcW w:w="1190" w:type="dxa"/>
            <w:noWrap w:val="0"/>
            <w:vAlign w:val="top"/>
          </w:tcPr>
          <w:p>
            <w:pPr>
              <w:snapToGrid w:val="0"/>
              <w:spacing w:line="400" w:lineRule="exact"/>
              <w:jc w:val="center"/>
              <w:rPr>
                <w:rFonts w:ascii="宋体" w:hAnsi="宋体" w:cs="宋体"/>
                <w:color w:val="000000"/>
                <w:sz w:val="18"/>
                <w:szCs w:val="18"/>
              </w:rPr>
            </w:pPr>
            <w:r>
              <w:rPr>
                <w:rFonts w:ascii="宋体" w:hAnsi="宋体" w:cs="宋体"/>
                <w:color w:val="000000"/>
                <w:sz w:val="18"/>
                <w:szCs w:val="18"/>
              </w:rPr>
              <w:t>60</w:t>
            </w:r>
            <w:r>
              <w:rPr>
                <w:rFonts w:hint="eastAsia" w:ascii="宋体" w:hAnsi="宋体" w:cs="宋体"/>
                <w:color w:val="000000"/>
                <w:sz w:val="18"/>
                <w:szCs w:val="18"/>
              </w:rPr>
              <w:t>分钟</w:t>
            </w:r>
          </w:p>
        </w:tc>
        <w:tc>
          <w:tcPr>
            <w:tcW w:w="2687" w:type="dxa"/>
            <w:noWrap w:val="0"/>
            <w:vAlign w:val="center"/>
          </w:tcPr>
          <w:p>
            <w:pPr>
              <w:snapToGrid w:val="0"/>
              <w:spacing w:line="276" w:lineRule="auto"/>
              <w:rPr>
                <w:rFonts w:ascii="宋体" w:hAnsi="宋体" w:cs="宋体"/>
                <w:sz w:val="18"/>
                <w:szCs w:val="18"/>
              </w:rPr>
            </w:pPr>
            <w:r>
              <w:rPr>
                <w:rFonts w:hint="eastAsia" w:ascii="宋体" w:hAnsi="宋体" w:cs="宋体"/>
                <w:sz w:val="18"/>
                <w:szCs w:val="18"/>
              </w:rPr>
              <w:t>定量、自动投入，</w:t>
            </w:r>
            <w:r>
              <w:rPr>
                <w:rFonts w:ascii="宋体" w:hAnsi="宋体" w:cs="宋体"/>
                <w:sz w:val="18"/>
                <w:szCs w:val="18"/>
              </w:rPr>
              <w:t>40g</w:t>
            </w:r>
            <w:r>
              <w:rPr>
                <w:rFonts w:hint="eastAsia" w:ascii="宋体" w:hAnsi="宋体" w:cs="宋体"/>
                <w:sz w:val="18"/>
                <w:szCs w:val="18"/>
              </w:rPr>
              <w:t>溶液消毒1000</w:t>
            </w:r>
            <w:r>
              <w:rPr>
                <w:rFonts w:ascii="宋体" w:hAnsi="宋体" w:cs="宋体"/>
                <w:sz w:val="18"/>
                <w:szCs w:val="18"/>
              </w:rPr>
              <w:t>kg</w:t>
            </w:r>
            <w:r>
              <w:rPr>
                <w:rFonts w:hint="eastAsia" w:ascii="宋体" w:hAnsi="宋体" w:cs="宋体"/>
                <w:sz w:val="18"/>
                <w:szCs w:val="18"/>
              </w:rPr>
              <w:t>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45" w:type="dxa"/>
            <w:noWrap w:val="0"/>
            <w:vAlign w:val="top"/>
          </w:tcPr>
          <w:p>
            <w:pPr>
              <w:snapToGrid w:val="0"/>
              <w:spacing w:line="400" w:lineRule="exact"/>
              <w:jc w:val="center"/>
              <w:rPr>
                <w:rFonts w:ascii="宋体" w:hAnsi="宋体" w:cs="宋体"/>
                <w:sz w:val="18"/>
                <w:szCs w:val="18"/>
              </w:rPr>
            </w:pPr>
            <w:r>
              <w:rPr>
                <w:rFonts w:hint="eastAsia" w:ascii="宋体" w:hAnsi="宋体" w:cs="宋体"/>
                <w:sz w:val="18"/>
                <w:szCs w:val="18"/>
              </w:rPr>
              <w:t>食品加工工具和设备</w:t>
            </w:r>
          </w:p>
        </w:tc>
        <w:tc>
          <w:tcPr>
            <w:tcW w:w="1736" w:type="dxa"/>
            <w:noWrap w:val="0"/>
            <w:vAlign w:val="top"/>
          </w:tcPr>
          <w:p>
            <w:pPr>
              <w:snapToGrid w:val="0"/>
              <w:spacing w:line="40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00</w:t>
            </w:r>
          </w:p>
        </w:tc>
        <w:tc>
          <w:tcPr>
            <w:tcW w:w="1562"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lang w:val="en-US" w:eastAsia="zh-CN"/>
              </w:rPr>
              <w:t>25</w:t>
            </w:r>
            <w:r>
              <w:rPr>
                <w:rFonts w:hint="eastAsia" w:ascii="宋体" w:hAnsi="宋体" w:cs="宋体"/>
                <w:color w:val="000000"/>
                <w:sz w:val="18"/>
                <w:szCs w:val="18"/>
              </w:rPr>
              <w:t>00</w:t>
            </w:r>
          </w:p>
        </w:tc>
        <w:tc>
          <w:tcPr>
            <w:tcW w:w="1190"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lang w:val="en-US" w:eastAsia="zh-CN"/>
              </w:rPr>
              <w:t>10</w:t>
            </w:r>
            <w:r>
              <w:rPr>
                <w:rFonts w:hint="eastAsia" w:ascii="宋体" w:hAnsi="宋体" w:cs="宋体"/>
                <w:color w:val="000000"/>
                <w:sz w:val="18"/>
                <w:szCs w:val="18"/>
              </w:rPr>
              <w:t>分钟</w:t>
            </w:r>
          </w:p>
        </w:tc>
        <w:tc>
          <w:tcPr>
            <w:tcW w:w="2687" w:type="dxa"/>
            <w:noWrap w:val="0"/>
            <w:vAlign w:val="center"/>
          </w:tcPr>
          <w:p>
            <w:pPr>
              <w:snapToGrid w:val="0"/>
              <w:spacing w:line="276" w:lineRule="auto"/>
              <w:rPr>
                <w:rFonts w:ascii="宋体" w:hAnsi="宋体" w:cs="宋体"/>
                <w:sz w:val="18"/>
                <w:szCs w:val="18"/>
              </w:rPr>
            </w:pPr>
            <w:r>
              <w:rPr>
                <w:rFonts w:hint="eastAsia" w:ascii="宋体" w:hAnsi="宋体" w:cs="宋体"/>
                <w:sz w:val="18"/>
                <w:szCs w:val="18"/>
              </w:rPr>
              <w:t>擦拭、浸泡、喷洒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45" w:type="dxa"/>
            <w:noWrap w:val="0"/>
            <w:vAlign w:val="center"/>
          </w:tcPr>
          <w:p>
            <w:pPr>
              <w:snapToGrid w:val="0"/>
              <w:spacing w:line="400" w:lineRule="exact"/>
              <w:jc w:val="center"/>
              <w:rPr>
                <w:rFonts w:ascii="宋体" w:hAnsi="宋体" w:cs="宋体"/>
                <w:sz w:val="18"/>
                <w:szCs w:val="18"/>
              </w:rPr>
            </w:pPr>
            <w:r>
              <w:rPr>
                <w:rFonts w:hint="eastAsia" w:ascii="宋体" w:hAnsi="宋体" w:cs="宋体"/>
                <w:sz w:val="18"/>
                <w:szCs w:val="18"/>
              </w:rPr>
              <w:t>蔬菜瓜果</w:t>
            </w:r>
          </w:p>
        </w:tc>
        <w:tc>
          <w:tcPr>
            <w:tcW w:w="1736" w:type="dxa"/>
            <w:noWrap w:val="0"/>
            <w:vAlign w:val="top"/>
          </w:tcPr>
          <w:p>
            <w:pPr>
              <w:snapToGrid w:val="0"/>
              <w:spacing w:line="40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00</w:t>
            </w:r>
          </w:p>
        </w:tc>
        <w:tc>
          <w:tcPr>
            <w:tcW w:w="1562" w:type="dxa"/>
            <w:noWrap w:val="0"/>
            <w:vAlign w:val="top"/>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lang w:val="en-US" w:eastAsia="zh-CN"/>
              </w:rPr>
              <w:t>25</w:t>
            </w:r>
            <w:r>
              <w:rPr>
                <w:rFonts w:hint="eastAsia" w:ascii="宋体" w:hAnsi="宋体" w:cs="宋体"/>
                <w:color w:val="000000"/>
                <w:sz w:val="18"/>
                <w:szCs w:val="18"/>
              </w:rPr>
              <w:t>00</w:t>
            </w:r>
          </w:p>
        </w:tc>
        <w:tc>
          <w:tcPr>
            <w:tcW w:w="1190" w:type="dxa"/>
            <w:noWrap w:val="0"/>
            <w:vAlign w:val="center"/>
          </w:tcPr>
          <w:p>
            <w:pPr>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r>
              <w:rPr>
                <w:rFonts w:hint="eastAsia" w:ascii="宋体" w:hAnsi="宋体" w:cs="宋体"/>
                <w:color w:val="000000"/>
                <w:sz w:val="18"/>
                <w:szCs w:val="18"/>
              </w:rPr>
              <w:t>分钟</w:t>
            </w:r>
          </w:p>
        </w:tc>
        <w:tc>
          <w:tcPr>
            <w:tcW w:w="2687" w:type="dxa"/>
            <w:noWrap w:val="0"/>
            <w:vAlign w:val="center"/>
          </w:tcPr>
          <w:p>
            <w:pPr>
              <w:snapToGrid w:val="0"/>
              <w:spacing w:line="276" w:lineRule="auto"/>
              <w:jc w:val="center"/>
              <w:rPr>
                <w:rFonts w:ascii="宋体" w:hAnsi="宋体" w:cs="宋体"/>
                <w:sz w:val="18"/>
                <w:szCs w:val="18"/>
              </w:rPr>
            </w:pPr>
            <w:r>
              <w:rPr>
                <w:rFonts w:hint="eastAsia" w:ascii="宋体" w:hAnsi="宋体" w:cs="宋体"/>
                <w:sz w:val="18"/>
                <w:szCs w:val="18"/>
              </w:rPr>
              <w:t>浸泡</w:t>
            </w:r>
          </w:p>
        </w:tc>
      </w:tr>
    </w:tbl>
    <w:p>
      <w:pPr>
        <w:snapToGrid/>
        <w:spacing w:before="0" w:beforeAutospacing="0" w:after="0" w:afterAutospacing="0" w:line="360" w:lineRule="auto"/>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修改为：</w:t>
      </w:r>
    </w:p>
    <w:tbl>
      <w:tblPr>
        <w:tblStyle w:val="3"/>
        <w:tblW w:w="94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1823"/>
        <w:gridCol w:w="1550"/>
        <w:gridCol w:w="1184"/>
        <w:gridCol w:w="2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硬质物体表面</w:t>
            </w:r>
          </w:p>
        </w:tc>
        <w:tc>
          <w:tcPr>
            <w:tcW w:w="18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1:500</w:t>
            </w:r>
          </w:p>
        </w:tc>
        <w:tc>
          <w:tcPr>
            <w:tcW w:w="15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1000</w:t>
            </w:r>
          </w:p>
        </w:tc>
        <w:tc>
          <w:tcPr>
            <w:tcW w:w="11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15分钟</w:t>
            </w:r>
          </w:p>
        </w:tc>
        <w:tc>
          <w:tcPr>
            <w:tcW w:w="26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擦拭、浸泡、喷洒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织物和其他多孔物体表面</w:t>
            </w:r>
          </w:p>
        </w:tc>
        <w:tc>
          <w:tcPr>
            <w:tcW w:w="18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1:500</w:t>
            </w:r>
          </w:p>
        </w:tc>
        <w:tc>
          <w:tcPr>
            <w:tcW w:w="15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1000</w:t>
            </w:r>
          </w:p>
        </w:tc>
        <w:tc>
          <w:tcPr>
            <w:tcW w:w="11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15分钟</w:t>
            </w:r>
          </w:p>
        </w:tc>
        <w:tc>
          <w:tcPr>
            <w:tcW w:w="26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生活饮用水</w:t>
            </w:r>
          </w:p>
        </w:tc>
        <w:tc>
          <w:tcPr>
            <w:tcW w:w="18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1:20</w:t>
            </w:r>
          </w:p>
        </w:tc>
        <w:tc>
          <w:tcPr>
            <w:tcW w:w="15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eastAsia="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25000</w:t>
            </w:r>
          </w:p>
        </w:tc>
        <w:tc>
          <w:tcPr>
            <w:tcW w:w="11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15~30分钟</w:t>
            </w:r>
          </w:p>
        </w:tc>
        <w:tc>
          <w:tcPr>
            <w:tcW w:w="26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定量、自动投入，40g溶液消毒1000kg饮用水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食品加工工具和设备</w:t>
            </w:r>
          </w:p>
        </w:tc>
        <w:tc>
          <w:tcPr>
            <w:tcW w:w="18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1:500</w:t>
            </w:r>
          </w:p>
        </w:tc>
        <w:tc>
          <w:tcPr>
            <w:tcW w:w="15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1000</w:t>
            </w:r>
          </w:p>
        </w:tc>
        <w:tc>
          <w:tcPr>
            <w:tcW w:w="11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15分钟</w:t>
            </w:r>
          </w:p>
        </w:tc>
        <w:tc>
          <w:tcPr>
            <w:tcW w:w="26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擦拭、浸泡、喷洒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蔬菜瓜果</w:t>
            </w:r>
          </w:p>
        </w:tc>
        <w:tc>
          <w:tcPr>
            <w:tcW w:w="18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1:500</w:t>
            </w:r>
          </w:p>
        </w:tc>
        <w:tc>
          <w:tcPr>
            <w:tcW w:w="15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1000</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6"/>
                <w:rFonts w:ascii="宋体" w:hAnsi="宋体"/>
                <w:b w:val="0"/>
                <w:i w:val="0"/>
                <w:caps w:val="0"/>
                <w:color w:val="000000"/>
                <w:spacing w:val="0"/>
                <w:w w:val="100"/>
                <w:kern w:val="2"/>
                <w:sz w:val="18"/>
                <w:szCs w:val="18"/>
                <w:lang w:val="en-US" w:eastAsia="zh-CN" w:bidi="ar-SA"/>
              </w:rPr>
            </w:pPr>
            <w:r>
              <w:rPr>
                <w:rStyle w:val="6"/>
                <w:rFonts w:ascii="宋体" w:hAnsi="宋体"/>
                <w:b w:val="0"/>
                <w:i w:val="0"/>
                <w:caps w:val="0"/>
                <w:color w:val="000000"/>
                <w:spacing w:val="0"/>
                <w:w w:val="100"/>
                <w:kern w:val="2"/>
                <w:sz w:val="18"/>
                <w:szCs w:val="18"/>
                <w:lang w:val="en-US" w:eastAsia="zh-CN" w:bidi="ar-SA"/>
              </w:rPr>
              <w:t>15分钟</w:t>
            </w:r>
          </w:p>
        </w:tc>
        <w:tc>
          <w:tcPr>
            <w:tcW w:w="26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center"/>
              <w:textAlignment w:val="baseline"/>
              <w:rPr>
                <w:rStyle w:val="6"/>
                <w:rFonts w:ascii="宋体" w:hAnsi="宋体"/>
                <w:b w:val="0"/>
                <w:i w:val="0"/>
                <w:caps w:val="0"/>
                <w:spacing w:val="0"/>
                <w:w w:val="100"/>
                <w:kern w:val="2"/>
                <w:sz w:val="18"/>
                <w:szCs w:val="18"/>
                <w:lang w:val="en-US" w:eastAsia="zh-CN" w:bidi="ar-SA"/>
              </w:rPr>
            </w:pPr>
            <w:r>
              <w:rPr>
                <w:rStyle w:val="6"/>
                <w:rFonts w:ascii="宋体" w:hAnsi="宋体"/>
                <w:b w:val="0"/>
                <w:i w:val="0"/>
                <w:caps w:val="0"/>
                <w:spacing w:val="0"/>
                <w:w w:val="100"/>
                <w:kern w:val="2"/>
                <w:sz w:val="18"/>
                <w:szCs w:val="18"/>
                <w:lang w:val="en-US" w:eastAsia="zh-CN" w:bidi="ar-SA"/>
              </w:rPr>
              <w:t>浸泡</w:t>
            </w:r>
          </w:p>
        </w:tc>
      </w:tr>
    </w:tbl>
    <w:p>
      <w:pPr>
        <w:snapToGrid/>
        <w:spacing w:before="0" w:beforeAutospacing="0" w:after="0" w:afterAutospacing="0" w:line="360" w:lineRule="auto"/>
        <w:ind w:firstLine="480" w:firstLineChars="200"/>
        <w:jc w:val="both"/>
        <w:textAlignment w:val="baseline"/>
        <w:rPr>
          <w:rFonts w:hint="eastAsia" w:ascii="宋体" w:hAnsi="宋体"/>
          <w:b w:val="0"/>
          <w:bCs w:val="0"/>
          <w:sz w:val="24"/>
          <w:szCs w:val="24"/>
          <w:lang w:val="en-US" w:eastAsia="zh-CN"/>
        </w:rPr>
      </w:pPr>
      <w:r>
        <w:rPr>
          <w:rFonts w:hint="default" w:ascii="宋体" w:hAnsi="宋体"/>
          <w:b w:val="0"/>
          <w:bCs w:val="0"/>
          <w:sz w:val="24"/>
          <w:szCs w:val="24"/>
          <w:lang w:val="en-US" w:eastAsia="zh-CN"/>
        </w:rPr>
        <w:t>8.2稳定性检验</w:t>
      </w:r>
      <w:r>
        <w:rPr>
          <w:rFonts w:hint="eastAsia" w:ascii="宋体" w:hAnsi="宋体"/>
          <w:b w:val="0"/>
          <w:bCs w:val="0"/>
          <w:sz w:val="24"/>
          <w:szCs w:val="24"/>
          <w:lang w:val="en-US" w:eastAsia="zh-CN"/>
        </w:rPr>
        <w:t xml:space="preserve"> 根据实验把“</w:t>
      </w:r>
      <w:r>
        <w:rPr>
          <w:rFonts w:hint="default" w:ascii="宋体" w:hAnsi="宋体"/>
          <w:b w:val="0"/>
          <w:bCs w:val="0"/>
          <w:sz w:val="24"/>
          <w:szCs w:val="24"/>
          <w:lang w:val="en-US" w:eastAsia="zh-CN"/>
        </w:rPr>
        <w:t>在37℃、相对湿度60条件下恒温保存90d，单过硫酸氢钾复合盐的含量下降率应≤10%。</w:t>
      </w:r>
      <w:r>
        <w:rPr>
          <w:rFonts w:hint="eastAsia" w:ascii="宋体" w:hAnsi="宋体"/>
          <w:b w:val="0"/>
          <w:bCs w:val="0"/>
          <w:sz w:val="24"/>
          <w:szCs w:val="24"/>
          <w:lang w:val="en-US" w:eastAsia="zh-CN"/>
        </w:rPr>
        <w:t>” 改为“</w:t>
      </w:r>
      <w:r>
        <w:rPr>
          <w:rFonts w:hint="eastAsia" w:ascii="宋体" w:hAnsi="宋体"/>
          <w:b w:val="0"/>
          <w:bCs w:val="0"/>
          <w:sz w:val="24"/>
          <w:szCs w:val="24"/>
          <w:lang w:val="en-US" w:eastAsia="zh-CN"/>
        </w:rPr>
        <w:t>按国家卫健委《消毒技术规范》（2002年版）的要求执行，结果应符合5.7的要求。</w:t>
      </w:r>
      <w:r>
        <w:rPr>
          <w:rFonts w:hint="eastAsia" w:ascii="宋体" w:hAnsi="宋体"/>
          <w:b w:val="0"/>
          <w:bCs w:val="0"/>
          <w:sz w:val="24"/>
          <w:szCs w:val="24"/>
          <w:lang w:val="en-US" w:eastAsia="zh-CN"/>
        </w:rPr>
        <w:t>”</w:t>
      </w:r>
    </w:p>
    <w:p>
      <w:pPr>
        <w:snapToGrid/>
        <w:spacing w:before="0" w:beforeAutospacing="0" w:after="0" w:afterAutospacing="0" w:line="360" w:lineRule="auto"/>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9.5</w:t>
      </w:r>
      <w:r>
        <w:rPr>
          <w:rFonts w:hint="eastAsia" w:ascii="宋体" w:hAnsi="宋体"/>
          <w:b w:val="0"/>
          <w:bCs w:val="0"/>
          <w:sz w:val="24"/>
          <w:szCs w:val="24"/>
          <w:lang w:val="en-US" w:eastAsia="zh-CN"/>
        </w:rPr>
        <w:tab/>
      </w:r>
      <w:r>
        <w:rPr>
          <w:rFonts w:hint="eastAsia" w:ascii="宋体" w:hAnsi="宋体"/>
          <w:b w:val="0"/>
          <w:bCs w:val="0"/>
          <w:sz w:val="24"/>
          <w:szCs w:val="24"/>
          <w:lang w:val="en-US" w:eastAsia="zh-CN"/>
        </w:rPr>
        <w:t>稳定性 因重复删除</w:t>
      </w:r>
    </w:p>
    <w:p>
      <w:pPr>
        <w:snapToGrid/>
        <w:spacing w:before="0" w:beforeAutospacing="0" w:after="0" w:afterAutospacing="0" w:line="360" w:lineRule="auto"/>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按《消毒技术规范》（2002年版）的规定进行测试，结果应符合4.3的要求。</w:t>
      </w:r>
    </w:p>
    <w:p>
      <w:pPr>
        <w:snapToGrid/>
        <w:spacing w:before="0" w:beforeAutospacing="0" w:after="0" w:afterAutospacing="0" w:line="360" w:lineRule="auto"/>
        <w:ind w:firstLine="480" w:firstLineChars="200"/>
        <w:jc w:val="both"/>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9.6杀灭微生物指标 </w:t>
      </w:r>
      <w:r>
        <w:rPr>
          <w:rFonts w:hint="eastAsia" w:ascii="宋体" w:hAnsi="宋体"/>
          <w:b w:val="0"/>
          <w:bCs w:val="0"/>
          <w:sz w:val="24"/>
          <w:szCs w:val="24"/>
          <w:lang w:val="en-US" w:eastAsia="zh-CN"/>
        </w:rPr>
        <w:t>因重复</w:t>
      </w:r>
      <w:r>
        <w:rPr>
          <w:rFonts w:hint="eastAsia" w:ascii="宋体" w:hAnsi="宋体"/>
          <w:b w:val="0"/>
          <w:bCs w:val="0"/>
          <w:sz w:val="24"/>
          <w:szCs w:val="24"/>
          <w:lang w:val="en-US" w:eastAsia="zh-CN"/>
        </w:rPr>
        <w:t>删除</w:t>
      </w:r>
    </w:p>
    <w:p>
      <w:pPr>
        <w:snapToGrid/>
        <w:spacing w:before="0" w:beforeAutospacing="0" w:after="0" w:afterAutospacing="0" w:line="360" w:lineRule="auto"/>
        <w:jc w:val="both"/>
        <w:textAlignment w:val="baseline"/>
        <w:rPr>
          <w:rFonts w:hint="default" w:ascii="宋体" w:hAnsi="宋体" w:eastAsiaTheme="minorEastAsia"/>
          <w:b/>
          <w:bCs/>
          <w:sz w:val="24"/>
          <w:szCs w:val="24"/>
          <w:lang w:val="en-US" w:eastAsia="zh-CN"/>
        </w:rPr>
      </w:pPr>
      <w:r>
        <w:rPr>
          <w:rFonts w:hint="eastAsia" w:ascii="宋体" w:hAnsi="宋体"/>
          <w:b w:val="0"/>
          <w:bCs w:val="0"/>
          <w:sz w:val="24"/>
          <w:szCs w:val="24"/>
          <w:lang w:val="en-US" w:eastAsia="zh-CN"/>
        </w:rPr>
        <w:t>按《消毒技术规范》（2002年版）的规定进行测试，结果应符合4.4的要求。</w:t>
      </w:r>
      <w:bookmarkStart w:id="0" w:name="_GoBack"/>
      <w:bookmarkEnd w:id="0"/>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重大分歧意见的处理经过和依据；</w:t>
      </w:r>
    </w:p>
    <w:p>
      <w:pPr>
        <w:keepNext w:val="0"/>
        <w:keepLines w:val="0"/>
        <w:pageBreakBefore w:val="0"/>
        <w:widowControl w:val="0"/>
        <w:numPr>
          <w:ilvl w:val="0"/>
          <w:numId w:val="0"/>
        </w:numPr>
        <w:kinsoku/>
        <w:wordWrap/>
        <w:overflowPunct/>
        <w:topLinePunct w:val="0"/>
        <w:bidi w:val="0"/>
        <w:snapToGrid/>
        <w:spacing w:line="360" w:lineRule="auto"/>
        <w:ind w:firstLine="960" w:firstLineChars="400"/>
        <w:jc w:val="left"/>
        <w:textAlignment w:val="auto"/>
        <w:rPr>
          <w:rFonts w:hint="eastAsia" w:ascii="宋体" w:hAnsi="宋体"/>
          <w:sz w:val="24"/>
          <w:szCs w:val="24"/>
        </w:rPr>
      </w:pPr>
      <w:r>
        <w:rPr>
          <w:rFonts w:hint="eastAsia" w:ascii="宋体" w:hAnsi="宋体"/>
          <w:sz w:val="24"/>
          <w:szCs w:val="24"/>
        </w:rPr>
        <w:t>无重大意见分歧。</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六、</w:t>
      </w:r>
      <w:r>
        <w:rPr>
          <w:rFonts w:hint="eastAsia" w:ascii="宋体" w:hAnsi="宋体"/>
          <w:b/>
          <w:bCs/>
          <w:sz w:val="24"/>
          <w:szCs w:val="24"/>
        </w:rPr>
        <w:t>贯彻促进会标准的要求和措施建议（包括组织措施、技术措施、过渡办法等内容）、标准实施建议等；</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 xml:space="preserve">        无</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七、</w:t>
      </w:r>
      <w:r>
        <w:rPr>
          <w:rFonts w:hint="eastAsia" w:ascii="宋体" w:hAnsi="宋体"/>
          <w:b/>
          <w:bCs/>
          <w:sz w:val="24"/>
          <w:szCs w:val="24"/>
        </w:rPr>
        <w:t>其他应予说明的事项。</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 xml:space="preserve">        无</w:t>
      </w:r>
    </w:p>
    <w:p>
      <w:pPr>
        <w:widowControl/>
        <w:jc w:val="left"/>
        <w:rPr>
          <w:rFonts w:asciiTheme="majorHAnsi" w:hAnsiTheme="majorHAnsi" w:eastAsiaTheme="majorEastAsia" w:cstheme="majorBidi"/>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4F"/>
    <w:rsid w:val="00B44B51"/>
    <w:rsid w:val="00D3694F"/>
    <w:rsid w:val="025E7A90"/>
    <w:rsid w:val="0B986B41"/>
    <w:rsid w:val="0B9E7674"/>
    <w:rsid w:val="16CB05FE"/>
    <w:rsid w:val="1A5C4623"/>
    <w:rsid w:val="1C29799C"/>
    <w:rsid w:val="1C881EF6"/>
    <w:rsid w:val="2C8D542B"/>
    <w:rsid w:val="32240499"/>
    <w:rsid w:val="39F95247"/>
    <w:rsid w:val="3ECC6ED0"/>
    <w:rsid w:val="5A54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qFormat/>
    <w:uiPriority w:val="9"/>
    <w:rPr>
      <w:rFonts w:asciiTheme="majorHAnsi" w:hAnsiTheme="majorHAnsi" w:eastAsiaTheme="majorEastAsia" w:cstheme="majorBidi"/>
      <w:b/>
      <w:bCs/>
      <w:sz w:val="32"/>
      <w:szCs w:val="32"/>
    </w:rPr>
  </w:style>
  <w:style w:type="character" w:customStyle="1" w:styleId="6">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Words>
  <Characters>211</Characters>
  <Lines>1</Lines>
  <Paragraphs>1</Paragraphs>
  <TotalTime>1</TotalTime>
  <ScaleCrop>false</ScaleCrop>
  <LinksUpToDate>false</LinksUpToDate>
  <CharactersWithSpaces>247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2019-11-18T08:38:00Z</dcterms:created>
  <dc:creator>User</dc:creator>
  <cp:lastModifiedBy>上海泰缘白冰洁</cp:lastModifiedBy>
  <dcterms:modified xsi:type="dcterms:W3CDTF">2021-08-17T06:42:34Z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DC0DEC53607D4251904E7C972B9D07EE</vt:lpwstr>
  </property>
</Properties>
</file>